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75" w:rsidRPr="00B52D75" w:rsidRDefault="00B52D7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ДЕПАРТАМЕНТ ТАРИФНОЙ И ЦЕНОВОЙ ПОЛИТИКИ ТЮМЕНСКОЙ ОБЛАСТИ</w:t>
      </w:r>
    </w:p>
    <w:p w:rsidR="00B52D75" w:rsidRPr="00B52D75" w:rsidRDefault="00B52D7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52D75" w:rsidRPr="00B52D75" w:rsidRDefault="00B52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РАСПОРЯЖЕНИЕ</w:t>
      </w:r>
    </w:p>
    <w:p w:rsidR="00B52D75" w:rsidRPr="00B52D75" w:rsidRDefault="00B52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от 25 декабря 2018 г. N 624/01-21</w:t>
      </w:r>
    </w:p>
    <w:p w:rsidR="00B52D75" w:rsidRPr="00B52D75" w:rsidRDefault="00B52D7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52D75" w:rsidRPr="00B52D75" w:rsidRDefault="00B52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ОБ УСТАНОВЛЕНИИ НОРМАТИВОВ НАКОПЛЕНИЯ</w:t>
      </w:r>
    </w:p>
    <w:p w:rsidR="00B52D75" w:rsidRPr="00B52D75" w:rsidRDefault="00B52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ТВЕРДЫХ КОММУНАЛЬНЫХ ОТХОДОВ</w:t>
      </w:r>
    </w:p>
    <w:p w:rsidR="00B52D75" w:rsidRPr="00B52D75" w:rsidRDefault="00B52D75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2D75" w:rsidRPr="00B52D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2D75">
              <w:rPr>
                <w:rFonts w:ascii="Arial" w:hAnsi="Arial" w:cs="Arial"/>
                <w:color w:val="392C69"/>
                <w:sz w:val="24"/>
                <w:szCs w:val="24"/>
              </w:rPr>
              <w:t>(в ред. распоряжений Департамента тарифной и ценовой политики</w:t>
            </w:r>
            <w:proofErr w:type="gramEnd"/>
          </w:p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color w:val="392C69"/>
                <w:sz w:val="24"/>
                <w:szCs w:val="24"/>
              </w:rPr>
              <w:t xml:space="preserve">Тюменской области от 24.01.2019 </w:t>
            </w:r>
            <w:hyperlink r:id="rId4" w:history="1">
              <w:r w:rsidRPr="00B52D75">
                <w:rPr>
                  <w:rFonts w:ascii="Arial" w:hAnsi="Arial" w:cs="Arial"/>
                  <w:color w:val="0000FF"/>
                  <w:sz w:val="24"/>
                  <w:szCs w:val="24"/>
                </w:rPr>
                <w:t>N 08/01-21</w:t>
              </w:r>
            </w:hyperlink>
            <w:r w:rsidRPr="00B52D75">
              <w:rPr>
                <w:rFonts w:ascii="Arial" w:hAnsi="Arial" w:cs="Arial"/>
                <w:color w:val="392C69"/>
                <w:sz w:val="24"/>
                <w:szCs w:val="24"/>
              </w:rPr>
              <w:t xml:space="preserve">, от 18.02.2019 </w:t>
            </w:r>
            <w:hyperlink r:id="rId5" w:history="1">
              <w:r w:rsidRPr="00B52D75">
                <w:rPr>
                  <w:rFonts w:ascii="Arial" w:hAnsi="Arial" w:cs="Arial"/>
                  <w:color w:val="0000FF"/>
                  <w:sz w:val="24"/>
                  <w:szCs w:val="24"/>
                </w:rPr>
                <w:t>N 35/01-21</w:t>
              </w:r>
            </w:hyperlink>
            <w:r w:rsidRPr="00B52D75">
              <w:rPr>
                <w:rFonts w:ascii="Arial" w:hAnsi="Arial" w:cs="Arial"/>
                <w:color w:val="392C69"/>
                <w:sz w:val="24"/>
                <w:szCs w:val="24"/>
              </w:rPr>
              <w:t>,</w:t>
            </w:r>
          </w:p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color w:val="392C69"/>
                <w:sz w:val="24"/>
                <w:szCs w:val="24"/>
              </w:rPr>
              <w:t xml:space="preserve">от 02.07.2019 </w:t>
            </w:r>
            <w:hyperlink r:id="rId6" w:history="1">
              <w:r w:rsidRPr="00B52D75">
                <w:rPr>
                  <w:rFonts w:ascii="Arial" w:hAnsi="Arial" w:cs="Arial"/>
                  <w:color w:val="0000FF"/>
                  <w:sz w:val="24"/>
                  <w:szCs w:val="24"/>
                </w:rPr>
                <w:t>N 143/01-21</w:t>
              </w:r>
            </w:hyperlink>
            <w:r w:rsidRPr="00B52D75">
              <w:rPr>
                <w:rFonts w:ascii="Arial" w:hAnsi="Arial" w:cs="Arial"/>
                <w:color w:val="392C69"/>
                <w:sz w:val="24"/>
                <w:szCs w:val="24"/>
              </w:rPr>
              <w:t>)</w:t>
            </w:r>
          </w:p>
        </w:tc>
      </w:tr>
    </w:tbl>
    <w:p w:rsidR="00B52D75" w:rsidRPr="00B52D75" w:rsidRDefault="00B52D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2D75" w:rsidRPr="00B52D75" w:rsidRDefault="00B52D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B52D7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52D75">
        <w:rPr>
          <w:rFonts w:ascii="Arial" w:hAnsi="Arial" w:cs="Arial"/>
          <w:sz w:val="24"/>
          <w:szCs w:val="24"/>
        </w:rPr>
        <w:t xml:space="preserve"> от 24.06.1998 N 89-ФЗ "Об отходах производства и потребления", </w:t>
      </w:r>
      <w:hyperlink r:id="rId8" w:history="1">
        <w:r w:rsidRPr="00B52D75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B52D75">
        <w:rPr>
          <w:rFonts w:ascii="Arial" w:hAnsi="Arial" w:cs="Arial"/>
          <w:sz w:val="24"/>
          <w:szCs w:val="24"/>
        </w:rPr>
        <w:t xml:space="preserve"> Правительства Российской Федерации от 04.04.2016 N 269 "Об определении нормативов накопления твердых коммунальных отходов", </w:t>
      </w:r>
      <w:hyperlink r:id="rId9" w:history="1">
        <w:r w:rsidRPr="00B52D75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B52D75">
        <w:rPr>
          <w:rFonts w:ascii="Arial" w:hAnsi="Arial" w:cs="Arial"/>
          <w:sz w:val="24"/>
          <w:szCs w:val="24"/>
        </w:rPr>
        <w:t xml:space="preserve"> Минстроя России от 28.07.2016 N 524/</w:t>
      </w:r>
      <w:proofErr w:type="spellStart"/>
      <w:proofErr w:type="gramStart"/>
      <w:r w:rsidRPr="00B52D7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B52D75">
        <w:rPr>
          <w:rFonts w:ascii="Arial" w:hAnsi="Arial" w:cs="Arial"/>
          <w:sz w:val="24"/>
          <w:szCs w:val="24"/>
        </w:rPr>
        <w:t xml:space="preserve"> "Об утверждении Методических рекомендаций по вопросам, связанным с определением нормативов накопления твердых коммунальных отходов", </w:t>
      </w:r>
      <w:hyperlink r:id="rId10" w:history="1">
        <w:r w:rsidRPr="00B52D75">
          <w:rPr>
            <w:rFonts w:ascii="Arial" w:hAnsi="Arial" w:cs="Arial"/>
            <w:color w:val="0000FF"/>
            <w:sz w:val="24"/>
            <w:szCs w:val="24"/>
          </w:rPr>
          <w:t>распоряжением</w:t>
        </w:r>
      </w:hyperlink>
      <w:r w:rsidRPr="00B52D75">
        <w:rPr>
          <w:rFonts w:ascii="Arial" w:hAnsi="Arial" w:cs="Arial"/>
          <w:sz w:val="24"/>
          <w:szCs w:val="24"/>
        </w:rPr>
        <w:t xml:space="preserve"> Правительства Тюменской области от 28.06.2010 N 885-рп "О </w:t>
      </w:r>
      <w:proofErr w:type="gramStart"/>
      <w:r w:rsidRPr="00B52D75">
        <w:rPr>
          <w:rFonts w:ascii="Arial" w:hAnsi="Arial" w:cs="Arial"/>
          <w:sz w:val="24"/>
          <w:szCs w:val="24"/>
        </w:rPr>
        <w:t>принятии</w:t>
      </w:r>
      <w:proofErr w:type="gramEnd"/>
      <w:r w:rsidRPr="00B52D75">
        <w:rPr>
          <w:rFonts w:ascii="Arial" w:hAnsi="Arial" w:cs="Arial"/>
          <w:sz w:val="24"/>
          <w:szCs w:val="24"/>
        </w:rPr>
        <w:t xml:space="preserve"> исполнительными органами власти Тюменской области нормативных правовых актов", </w:t>
      </w:r>
      <w:hyperlink r:id="rId11" w:history="1">
        <w:r w:rsidRPr="00B52D75">
          <w:rPr>
            <w:rFonts w:ascii="Arial" w:hAnsi="Arial" w:cs="Arial"/>
            <w:color w:val="0000FF"/>
            <w:sz w:val="24"/>
            <w:szCs w:val="24"/>
          </w:rPr>
          <w:t>Положением</w:t>
        </w:r>
      </w:hyperlink>
      <w:r w:rsidRPr="00B52D75">
        <w:rPr>
          <w:rFonts w:ascii="Arial" w:hAnsi="Arial" w:cs="Arial"/>
          <w:sz w:val="24"/>
          <w:szCs w:val="24"/>
        </w:rP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59-п, </w:t>
      </w:r>
      <w:hyperlink r:id="rId12" w:history="1">
        <w:r w:rsidRPr="00B52D75">
          <w:rPr>
            <w:rFonts w:ascii="Arial" w:hAnsi="Arial" w:cs="Arial"/>
            <w:color w:val="0000FF"/>
            <w:sz w:val="24"/>
            <w:szCs w:val="24"/>
          </w:rPr>
          <w:t>распоряжением</w:t>
        </w:r>
      </w:hyperlink>
      <w:r w:rsidRPr="00B52D75">
        <w:rPr>
          <w:rFonts w:ascii="Arial" w:hAnsi="Arial" w:cs="Arial"/>
          <w:sz w:val="24"/>
          <w:szCs w:val="24"/>
        </w:rPr>
        <w:t xml:space="preserve"> Департамента тарифной и ценовой политики Тюменской области от 24.01.2019 N 07/01-21 "Об оплате потребителями коммунальной услуги по обращению с твердыми коммунальными отходами в Тюменской области":</w:t>
      </w:r>
    </w:p>
    <w:p w:rsidR="00B52D75" w:rsidRPr="00B52D75" w:rsidRDefault="00B52D7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 xml:space="preserve">1. Установить </w:t>
      </w:r>
      <w:hyperlink w:anchor="P31" w:history="1">
        <w:r w:rsidRPr="00B52D75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B52D75">
        <w:rPr>
          <w:rFonts w:ascii="Arial" w:hAnsi="Arial" w:cs="Arial"/>
          <w:sz w:val="24"/>
          <w:szCs w:val="24"/>
        </w:rPr>
        <w:t xml:space="preserve"> накопления твердых коммунальных отходов для жилых помещений в Тюменской области согласно приложению N 1 к настоящему распоряжению.</w:t>
      </w:r>
    </w:p>
    <w:p w:rsidR="00B52D75" w:rsidRPr="00B52D75" w:rsidRDefault="00B52D7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 xml:space="preserve">2. Установить </w:t>
      </w:r>
      <w:hyperlink w:anchor="P60" w:history="1">
        <w:r w:rsidRPr="00B52D75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B52D75">
        <w:rPr>
          <w:rFonts w:ascii="Arial" w:hAnsi="Arial" w:cs="Arial"/>
          <w:sz w:val="24"/>
          <w:szCs w:val="24"/>
        </w:rPr>
        <w:t xml:space="preserve"> накопления твердых коммунальных отходов для прочих категорий потребителей в Тюменской области согласно приложению N 2 к настоящему распоряжению.</w:t>
      </w:r>
    </w:p>
    <w:p w:rsidR="00B52D75" w:rsidRPr="00B52D75" w:rsidRDefault="00B52D7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2D75">
        <w:rPr>
          <w:rFonts w:ascii="Arial" w:hAnsi="Arial" w:cs="Arial"/>
          <w:sz w:val="24"/>
          <w:szCs w:val="24"/>
        </w:rPr>
        <w:t xml:space="preserve">В соответствии с </w:t>
      </w:r>
      <w:hyperlink r:id="rId13" w:history="1">
        <w:r w:rsidRPr="00B52D75">
          <w:rPr>
            <w:rFonts w:ascii="Arial" w:hAnsi="Arial" w:cs="Arial"/>
            <w:color w:val="0000FF"/>
            <w:sz w:val="24"/>
            <w:szCs w:val="24"/>
          </w:rPr>
          <w:t>пунктом 4 раздела 1</w:t>
        </w:r>
      </w:hyperlink>
      <w:r w:rsidRPr="00B52D75">
        <w:rPr>
          <w:rFonts w:ascii="Arial" w:hAnsi="Arial" w:cs="Arial"/>
          <w:sz w:val="24"/>
          <w:szCs w:val="24"/>
        </w:rPr>
        <w:t xml:space="preserve"> Правил коммерческого учета объема и (или) массы твердых коммунальных отходов, утвержденных постановлением Правительства РФ от 03.06.2016 N 505, в случае если в договоре на оказание услуг по обращению с твердыми коммунальными отходами указан способ коммерческого учета твердых коммунальных отходов исходя из количества и объема контейнеров для накопления твердых коммунальных отходов, установленных в местах</w:t>
      </w:r>
      <w:proofErr w:type="gramEnd"/>
      <w:r w:rsidRPr="00B52D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2D75">
        <w:rPr>
          <w:rFonts w:ascii="Arial" w:hAnsi="Arial" w:cs="Arial"/>
          <w:sz w:val="24"/>
          <w:szCs w:val="24"/>
        </w:rPr>
        <w:t xml:space="preserve">накопления твердых коммунальных отходов, и при отсутствии данных об объеме и массе твердых коммунальных отходов, принятых от собственника твердых коммунальных отходов, переданных на объекты обработки, утилизации, обезвреживания и захоронения отходов за последний истекший календарный год, нормативы накопления твердых коммунальных отходов для прочих категорий потребителей, установленные </w:t>
      </w:r>
      <w:hyperlink w:anchor="P60" w:history="1">
        <w:r w:rsidRPr="00B52D75">
          <w:rPr>
            <w:rFonts w:ascii="Arial" w:hAnsi="Arial" w:cs="Arial"/>
            <w:color w:val="0000FF"/>
            <w:sz w:val="24"/>
            <w:szCs w:val="24"/>
          </w:rPr>
          <w:t>приложением N 2</w:t>
        </w:r>
      </w:hyperlink>
      <w:r w:rsidRPr="00B52D75">
        <w:rPr>
          <w:rFonts w:ascii="Arial" w:hAnsi="Arial" w:cs="Arial"/>
          <w:sz w:val="24"/>
          <w:szCs w:val="24"/>
        </w:rPr>
        <w:t xml:space="preserve"> к распоряжению, применяются для расчета средней плотности твердых коммунальных отходов.</w:t>
      </w:r>
      <w:proofErr w:type="gramEnd"/>
    </w:p>
    <w:p w:rsidR="00B52D75" w:rsidRPr="00B52D75" w:rsidRDefault="00B52D7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 xml:space="preserve">(в ред. </w:t>
      </w:r>
      <w:hyperlink r:id="rId14" w:history="1">
        <w:r w:rsidRPr="00B52D75">
          <w:rPr>
            <w:rFonts w:ascii="Arial" w:hAnsi="Arial" w:cs="Arial"/>
            <w:color w:val="0000FF"/>
            <w:sz w:val="24"/>
            <w:szCs w:val="24"/>
          </w:rPr>
          <w:t>распоряжения</w:t>
        </w:r>
      </w:hyperlink>
      <w:r w:rsidRPr="00B52D75">
        <w:rPr>
          <w:rFonts w:ascii="Arial" w:hAnsi="Arial" w:cs="Arial"/>
          <w:sz w:val="24"/>
          <w:szCs w:val="24"/>
        </w:rPr>
        <w:t xml:space="preserve"> Департамента тарифной и ценовой политики Тюменской области от 18.02.2019 N 35/01-21)</w:t>
      </w:r>
    </w:p>
    <w:p w:rsidR="00B52D75" w:rsidRPr="00B52D75" w:rsidRDefault="00B52D7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3. Настоящее распоряжение вступает в силу с 1 января 2019 года.</w:t>
      </w:r>
    </w:p>
    <w:p w:rsidR="00B52D75" w:rsidRPr="00B52D75" w:rsidRDefault="00B52D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2D75" w:rsidRPr="00B52D75" w:rsidRDefault="00B52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Директор департамента</w:t>
      </w:r>
    </w:p>
    <w:p w:rsidR="00B52D75" w:rsidRPr="00B52D75" w:rsidRDefault="00B52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Е.А.КАРТАШКОВ</w:t>
      </w:r>
    </w:p>
    <w:p w:rsidR="00B52D75" w:rsidRPr="00B52D75" w:rsidRDefault="00B52D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2D75" w:rsidRPr="00B52D75" w:rsidRDefault="00B52D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2D75" w:rsidRPr="00B52D75" w:rsidRDefault="00B52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52D75" w:rsidRPr="00B52D75" w:rsidRDefault="00B52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к распоряжению</w:t>
      </w:r>
    </w:p>
    <w:p w:rsidR="00B52D75" w:rsidRPr="00B52D75" w:rsidRDefault="00B52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от 25.12.2018 N 624/01-21</w:t>
      </w:r>
    </w:p>
    <w:p w:rsidR="00B52D75" w:rsidRPr="00B52D75" w:rsidRDefault="00B52D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2D75" w:rsidRPr="00B52D75" w:rsidRDefault="00B52D7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1"/>
      <w:bookmarkEnd w:id="0"/>
      <w:r w:rsidRPr="00B52D75">
        <w:rPr>
          <w:rFonts w:ascii="Arial" w:hAnsi="Arial" w:cs="Arial"/>
          <w:sz w:val="24"/>
          <w:szCs w:val="24"/>
        </w:rPr>
        <w:t>НОРМАТИВЫ</w:t>
      </w:r>
    </w:p>
    <w:p w:rsidR="00B52D75" w:rsidRPr="00B52D75" w:rsidRDefault="00B52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НАКОПЛЕНИЯ ТВЕРДЫХ КОММУНАЛЬНЫХ ОТХОДОВ ДЛЯ ЖИЛЫХ ПОМЕЩЕНИЙ</w:t>
      </w:r>
    </w:p>
    <w:p w:rsidR="00B52D75" w:rsidRPr="00B52D75" w:rsidRDefault="00B52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В ТЮМЕНСКОЙ ОБЛАСТИ</w:t>
      </w:r>
    </w:p>
    <w:p w:rsidR="00B52D75" w:rsidRPr="00B52D75" w:rsidRDefault="00B52D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"/>
        <w:gridCol w:w="3128"/>
        <w:gridCol w:w="2514"/>
        <w:gridCol w:w="2051"/>
        <w:gridCol w:w="2049"/>
      </w:tblGrid>
      <w:tr w:rsidR="00B52D75" w:rsidRPr="00B52D75" w:rsidTr="00B52D75">
        <w:tc>
          <w:tcPr>
            <w:tcW w:w="284" w:type="pct"/>
            <w:vMerge w:val="restar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514" w:type="pct"/>
            <w:vMerge w:val="restar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1217" w:type="pct"/>
            <w:vMerge w:val="restar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1986" w:type="pct"/>
            <w:gridSpan w:val="2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Норматив накопления твердых коммунальных отходов</w:t>
            </w:r>
          </w:p>
        </w:tc>
      </w:tr>
      <w:tr w:rsidR="00B52D75" w:rsidRPr="00B52D75" w:rsidTr="00B52D75">
        <w:tc>
          <w:tcPr>
            <w:tcW w:w="284" w:type="pct"/>
            <w:vMerge/>
          </w:tcPr>
          <w:p w:rsidR="00B52D75" w:rsidRPr="00B52D75" w:rsidRDefault="00B52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pct"/>
            <w:vMerge/>
          </w:tcPr>
          <w:p w:rsidR="00B52D75" w:rsidRPr="00B52D75" w:rsidRDefault="00B52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pct"/>
            <w:vMerge/>
          </w:tcPr>
          <w:p w:rsidR="00B52D75" w:rsidRPr="00B52D75" w:rsidRDefault="00B52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2D75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B52D75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  <w:tc>
          <w:tcPr>
            <w:tcW w:w="99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куб. м в год</w:t>
            </w:r>
          </w:p>
        </w:tc>
      </w:tr>
      <w:tr w:rsidR="00B52D75" w:rsidRPr="00B52D75" w:rsidTr="00B52D75">
        <w:tc>
          <w:tcPr>
            <w:tcW w:w="28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1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Многоквартирные дома</w:t>
            </w:r>
          </w:p>
        </w:tc>
        <w:tc>
          <w:tcPr>
            <w:tcW w:w="1217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проживающий</w:t>
            </w:r>
          </w:p>
        </w:tc>
        <w:tc>
          <w:tcPr>
            <w:tcW w:w="99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276,86</w:t>
            </w:r>
          </w:p>
        </w:tc>
        <w:tc>
          <w:tcPr>
            <w:tcW w:w="99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2,74</w:t>
            </w:r>
          </w:p>
        </w:tc>
      </w:tr>
      <w:tr w:rsidR="00B52D75" w:rsidRPr="00B52D75" w:rsidTr="00B52D75">
        <w:tc>
          <w:tcPr>
            <w:tcW w:w="28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1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Жилые дома</w:t>
            </w:r>
          </w:p>
        </w:tc>
        <w:tc>
          <w:tcPr>
            <w:tcW w:w="1217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проживающий</w:t>
            </w:r>
          </w:p>
        </w:tc>
        <w:tc>
          <w:tcPr>
            <w:tcW w:w="99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237,41</w:t>
            </w:r>
          </w:p>
        </w:tc>
        <w:tc>
          <w:tcPr>
            <w:tcW w:w="99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2,57</w:t>
            </w:r>
          </w:p>
        </w:tc>
      </w:tr>
    </w:tbl>
    <w:p w:rsidR="00B52D75" w:rsidRPr="00B52D75" w:rsidRDefault="00B52D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2D75" w:rsidRPr="00B52D75" w:rsidRDefault="00B52D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2D75" w:rsidRPr="00B52D75" w:rsidRDefault="00B52D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2D75" w:rsidRPr="00B52D75" w:rsidRDefault="00B52D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2D75" w:rsidRDefault="00B52D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C6B56" w:rsidRPr="00B52D75" w:rsidRDefault="005C6B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2D75" w:rsidRPr="00B52D75" w:rsidRDefault="00B52D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52D75" w:rsidRPr="00B52D75" w:rsidRDefault="00B52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к распоряжению</w:t>
      </w:r>
    </w:p>
    <w:p w:rsidR="00B52D75" w:rsidRPr="00B52D75" w:rsidRDefault="00B52D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от 25.12.2018 N 624/01-21</w:t>
      </w:r>
    </w:p>
    <w:p w:rsidR="00B52D75" w:rsidRPr="00B52D75" w:rsidRDefault="00B52D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2D75" w:rsidRPr="00B52D75" w:rsidRDefault="00B52D7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60"/>
      <w:bookmarkEnd w:id="1"/>
      <w:r w:rsidRPr="00B52D75">
        <w:rPr>
          <w:rFonts w:ascii="Arial" w:hAnsi="Arial" w:cs="Arial"/>
          <w:sz w:val="24"/>
          <w:szCs w:val="24"/>
        </w:rPr>
        <w:t>НОРМАТИВЫ</w:t>
      </w:r>
    </w:p>
    <w:p w:rsidR="00B52D75" w:rsidRPr="00B52D75" w:rsidRDefault="00B52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НАКОПЛЕНИЯ ТВЕРДЫХ КОММУНАЛЬНЫХ ОТХОДОВ ДЛЯ ПРОЧИХ КАТЕГОРИЙ</w:t>
      </w:r>
    </w:p>
    <w:p w:rsidR="00B52D75" w:rsidRPr="00B52D75" w:rsidRDefault="00B52D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ПОТРЕБИТЕЛЕЙ В ТЮМЕНСКОЙ ОБЛАСТИ</w:t>
      </w:r>
    </w:p>
    <w:p w:rsidR="00B52D75" w:rsidRPr="00B52D75" w:rsidRDefault="00B52D75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52D75" w:rsidRPr="00B52D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2D75">
              <w:rPr>
                <w:rFonts w:ascii="Arial" w:hAnsi="Arial" w:cs="Arial"/>
                <w:color w:val="392C69"/>
                <w:sz w:val="24"/>
                <w:szCs w:val="24"/>
              </w:rPr>
              <w:t>(в ред. распоряжений Департамента тарифной и ценовой политики</w:t>
            </w:r>
            <w:proofErr w:type="gramEnd"/>
          </w:p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2D75">
              <w:rPr>
                <w:rFonts w:ascii="Arial" w:hAnsi="Arial" w:cs="Arial"/>
                <w:color w:val="392C69"/>
                <w:sz w:val="24"/>
                <w:szCs w:val="24"/>
              </w:rPr>
              <w:t xml:space="preserve">Тюменской области от 18.02.2019 </w:t>
            </w:r>
            <w:hyperlink r:id="rId15" w:history="1">
              <w:r w:rsidRPr="00B52D75">
                <w:rPr>
                  <w:rFonts w:ascii="Arial" w:hAnsi="Arial" w:cs="Arial"/>
                  <w:color w:val="0000FF"/>
                  <w:sz w:val="24"/>
                  <w:szCs w:val="24"/>
                </w:rPr>
                <w:t>N 35/01-21</w:t>
              </w:r>
            </w:hyperlink>
            <w:r w:rsidRPr="00B52D75">
              <w:rPr>
                <w:rFonts w:ascii="Arial" w:hAnsi="Arial" w:cs="Arial"/>
                <w:color w:val="392C69"/>
                <w:sz w:val="24"/>
                <w:szCs w:val="24"/>
              </w:rPr>
              <w:t xml:space="preserve">, от 02.07.2019 </w:t>
            </w:r>
            <w:hyperlink r:id="rId16" w:history="1">
              <w:r w:rsidRPr="00B52D75">
                <w:rPr>
                  <w:rFonts w:ascii="Arial" w:hAnsi="Arial" w:cs="Arial"/>
                  <w:color w:val="0000FF"/>
                  <w:sz w:val="24"/>
                  <w:szCs w:val="24"/>
                </w:rPr>
                <w:t>N 143/01-21</w:t>
              </w:r>
            </w:hyperlink>
            <w:r w:rsidRPr="00B52D75">
              <w:rPr>
                <w:rFonts w:ascii="Arial" w:hAnsi="Arial" w:cs="Arial"/>
                <w:color w:val="392C69"/>
                <w:sz w:val="24"/>
                <w:szCs w:val="24"/>
              </w:rPr>
              <w:t>)</w:t>
            </w:r>
            <w:proofErr w:type="gramEnd"/>
          </w:p>
        </w:tc>
      </w:tr>
    </w:tbl>
    <w:p w:rsidR="00B52D75" w:rsidRPr="00B52D75" w:rsidRDefault="00B52D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1"/>
        <w:gridCol w:w="4014"/>
        <w:gridCol w:w="2591"/>
        <w:gridCol w:w="1390"/>
        <w:gridCol w:w="1553"/>
      </w:tblGrid>
      <w:tr w:rsidR="00B52D75" w:rsidRPr="00B52D75" w:rsidTr="00B52D75">
        <w:tc>
          <w:tcPr>
            <w:tcW w:w="378" w:type="pct"/>
            <w:vMerge w:val="restar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943" w:type="pct"/>
            <w:vMerge w:val="restar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1254" w:type="pct"/>
            <w:vMerge w:val="restar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1425" w:type="pct"/>
            <w:gridSpan w:val="2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Норматив накопления твердых коммунальных отходов</w:t>
            </w:r>
          </w:p>
        </w:tc>
      </w:tr>
      <w:tr w:rsidR="00B52D75" w:rsidRPr="00B52D75" w:rsidTr="00B52D75">
        <w:tc>
          <w:tcPr>
            <w:tcW w:w="378" w:type="pct"/>
            <w:vMerge/>
          </w:tcPr>
          <w:p w:rsidR="00B52D75" w:rsidRPr="00B52D75" w:rsidRDefault="00B52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pct"/>
            <w:vMerge/>
          </w:tcPr>
          <w:p w:rsidR="00B52D75" w:rsidRPr="00B52D75" w:rsidRDefault="00B52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pct"/>
            <w:vMerge/>
          </w:tcPr>
          <w:p w:rsidR="00B52D75" w:rsidRPr="00B52D75" w:rsidRDefault="00B52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2D75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B52D75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куб. м в год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кв. метр общей площади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2,32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96" w:type="pct"/>
            <w:gridSpan w:val="2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Предприятия торговли: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Магазин непродовольственных товаров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кв. метр общей площади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Магазины, за исключением магазинов, отраженных в строке 2.1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кв. метр общей площади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28,63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Нестационарные торговые объекты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кв. метр общей площади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15,09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Рынки промтоварные, торговые центры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кв. метр общей площади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96" w:type="pct"/>
            <w:gridSpan w:val="2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Предприятия транспортной инфраструктуры: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B52D75">
              <w:rPr>
                <w:rFonts w:ascii="Arial" w:hAnsi="Arial" w:cs="Arial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750,97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B52D75">
              <w:rPr>
                <w:rFonts w:ascii="Arial" w:hAnsi="Arial" w:cs="Arial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541,62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7,41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Автотранспортные предприятия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B52D75">
              <w:rPr>
                <w:rFonts w:ascii="Arial" w:hAnsi="Arial" w:cs="Arial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121,84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2,18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Гаражи, парковки закрытого типа, автостоянки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B52D75">
              <w:rPr>
                <w:rFonts w:ascii="Arial" w:hAnsi="Arial" w:cs="Arial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37,62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2D75">
              <w:rPr>
                <w:rFonts w:ascii="Arial" w:hAnsi="Arial" w:cs="Arial"/>
                <w:sz w:val="24"/>
                <w:szCs w:val="24"/>
              </w:rPr>
              <w:t>Автомойки</w:t>
            </w:r>
            <w:proofErr w:type="spellEnd"/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B52D75">
              <w:rPr>
                <w:rFonts w:ascii="Arial" w:hAnsi="Arial" w:cs="Arial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378,25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10,61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Железнодорожные и автовокзалы, аэропорты, речные порты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пассажир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15,13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96" w:type="pct"/>
            <w:gridSpan w:val="2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Учебные заведения: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 xml:space="preserve">Дошкольные образовательные </w:t>
            </w:r>
            <w:r w:rsidRPr="00B52D75">
              <w:rPr>
                <w:rFonts w:ascii="Arial" w:hAnsi="Arial" w:cs="Arial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lastRenderedPageBreak/>
              <w:t>1 ребенок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31,16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учащийся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12,96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Иные учреждения, осуществляющие образовательный процесс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учащийся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2,20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96" w:type="pct"/>
            <w:gridSpan w:val="2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Культурно-развлекательные, спортивные учреждения: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Клубы, кинотеатры, дома и дворцы культуры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41,19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Театры, цирки, концертные залы,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11,18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19,91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</w:tr>
      <w:tr w:rsidR="00B52D75" w:rsidRPr="00B52D75" w:rsidTr="00B52D75">
        <w:tblPrEx>
          <w:tblBorders>
            <w:insideH w:val="nil"/>
          </w:tblBorders>
        </w:tblPrEx>
        <w:tc>
          <w:tcPr>
            <w:tcW w:w="378" w:type="pct"/>
            <w:tcBorders>
              <w:bottom w:val="nil"/>
            </w:tcBorders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1943" w:type="pct"/>
            <w:tcBorders>
              <w:bottom w:val="nil"/>
            </w:tcBorders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Архивы</w:t>
            </w:r>
          </w:p>
        </w:tc>
        <w:tc>
          <w:tcPr>
            <w:tcW w:w="1254" w:type="pct"/>
            <w:tcBorders>
              <w:bottom w:val="nil"/>
            </w:tcBorders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73" w:type="pct"/>
            <w:tcBorders>
              <w:bottom w:val="nil"/>
            </w:tcBorders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32,63</w:t>
            </w:r>
          </w:p>
        </w:tc>
        <w:tc>
          <w:tcPr>
            <w:tcW w:w="752" w:type="pct"/>
            <w:tcBorders>
              <w:bottom w:val="nil"/>
            </w:tcBorders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</w:tr>
      <w:tr w:rsidR="00B52D75" w:rsidRPr="00B52D75" w:rsidTr="00B52D75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B52D75" w:rsidRPr="00B52D75" w:rsidRDefault="00B52D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 xml:space="preserve">(п. 5.4 в ред. </w:t>
            </w:r>
            <w:hyperlink r:id="rId17" w:history="1">
              <w:r w:rsidRPr="00B52D75">
                <w:rPr>
                  <w:rFonts w:ascii="Arial" w:hAnsi="Arial" w:cs="Arial"/>
                  <w:color w:val="0000FF"/>
                  <w:sz w:val="24"/>
                  <w:szCs w:val="24"/>
                </w:rPr>
                <w:t>распоряжения</w:t>
              </w:r>
            </w:hyperlink>
            <w:r w:rsidRPr="00B52D75">
              <w:rPr>
                <w:rFonts w:ascii="Arial" w:hAnsi="Arial" w:cs="Arial"/>
                <w:sz w:val="24"/>
                <w:szCs w:val="24"/>
              </w:rPr>
              <w:t xml:space="preserve"> Департамента тарифной и ценовой политики Тюменской области от 02.07.2019 N 143/01-21)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Выставочные залы, музеи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кв. метр общей площади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4,63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кв. метр общей площади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3,03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96" w:type="pct"/>
            <w:gridSpan w:val="2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Предприятия общественного питания стационарные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183,52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2,24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Предприятия общественного питания нестационарные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объект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238,31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8,31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96" w:type="pct"/>
            <w:gridSpan w:val="2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Предприятия службы быта: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Мастерские и ателье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кв. метр общей площади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4,26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90,08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3,15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Гостиницы (коллективные средства размещения), расположенные в многоквартирных домах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кв. метр общей площади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10,03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0,106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 xml:space="preserve">Гостиницы, пансионаты, дома отдыха, туристические базы, за исключением </w:t>
            </w:r>
            <w:proofErr w:type="gramStart"/>
            <w:r w:rsidRPr="00B52D75">
              <w:rPr>
                <w:rFonts w:ascii="Arial" w:hAnsi="Arial" w:cs="Arial"/>
                <w:sz w:val="24"/>
                <w:szCs w:val="24"/>
              </w:rPr>
              <w:t>отраженных</w:t>
            </w:r>
            <w:proofErr w:type="gramEnd"/>
            <w:r w:rsidRPr="00B52D75">
              <w:rPr>
                <w:rFonts w:ascii="Arial" w:hAnsi="Arial" w:cs="Arial"/>
                <w:sz w:val="24"/>
                <w:szCs w:val="24"/>
              </w:rPr>
              <w:t xml:space="preserve"> в строке 7.3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304,05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3,06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Кладбища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B52D75" w:rsidRPr="00B52D75" w:rsidTr="00B52D75">
        <w:tc>
          <w:tcPr>
            <w:tcW w:w="378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943" w:type="pct"/>
          </w:tcPr>
          <w:p w:rsidR="00B52D75" w:rsidRPr="00B52D75" w:rsidRDefault="00B52D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Садоводческие некоммерческие товарищества</w:t>
            </w:r>
          </w:p>
        </w:tc>
        <w:tc>
          <w:tcPr>
            <w:tcW w:w="1254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 участник (член)</w:t>
            </w:r>
          </w:p>
        </w:tc>
        <w:tc>
          <w:tcPr>
            <w:tcW w:w="673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160,62</w:t>
            </w:r>
          </w:p>
        </w:tc>
        <w:tc>
          <w:tcPr>
            <w:tcW w:w="752" w:type="pct"/>
          </w:tcPr>
          <w:p w:rsidR="00B52D75" w:rsidRPr="00B52D75" w:rsidRDefault="00B5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D75">
              <w:rPr>
                <w:rFonts w:ascii="Arial" w:hAnsi="Arial" w:cs="Arial"/>
                <w:sz w:val="24"/>
                <w:szCs w:val="24"/>
              </w:rPr>
              <w:t>1,37</w:t>
            </w:r>
          </w:p>
        </w:tc>
      </w:tr>
    </w:tbl>
    <w:p w:rsidR="00F211E6" w:rsidRPr="00B52D75" w:rsidRDefault="00F211E6">
      <w:pPr>
        <w:rPr>
          <w:rFonts w:ascii="Arial" w:hAnsi="Arial" w:cs="Arial"/>
          <w:sz w:val="24"/>
          <w:szCs w:val="24"/>
        </w:rPr>
      </w:pPr>
    </w:p>
    <w:sectPr w:rsidR="00F211E6" w:rsidRPr="00B52D75" w:rsidSect="005C6B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2D75"/>
    <w:rsid w:val="005C6B56"/>
    <w:rsid w:val="008815D5"/>
    <w:rsid w:val="00B52D75"/>
    <w:rsid w:val="00CB01B9"/>
    <w:rsid w:val="00CE7F00"/>
    <w:rsid w:val="00F2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E53CD1370EAD12A06040D7ED603139323080164A1E9C7F21C245213EBD0959D3D5B7322BE0FC823DD729ABB999D55F0480A264C0ED01DTFr6G" TargetMode="External"/><Relationship Id="rId13" Type="http://schemas.openxmlformats.org/officeDocument/2006/relationships/hyperlink" Target="consultantplus://offline/ref=105E53CD1370EAD12A06040D7ED603139323080167A4E9C7F21C245213EBD0959D3D5B7629EA5E8D77DB27CCE1CD904AF5560AT2rF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5E53CD1370EAD12A06040D7ED6031393200F0363A7E9C7F21C245213EBD0959D3D5B7120BF049D739273C6FECB8E55F748092653T0r5G" TargetMode="External"/><Relationship Id="rId12" Type="http://schemas.openxmlformats.org/officeDocument/2006/relationships/hyperlink" Target="consultantplus://offline/ref=105E53CD1370EAD12A061A0068BA5D1C9628510F64A5E596A84F22054CBBD6C0DD7D5D2673FA5AC423D138CAFFD29254F6T5rFG" TargetMode="External"/><Relationship Id="rId17" Type="http://schemas.openxmlformats.org/officeDocument/2006/relationships/hyperlink" Target="consultantplus://offline/ref=EA09ABCE4D0A34C88C9152F1C19214A6B9B0BC3C947BA957D8FD83ADCD37BA38864E9F7A3736848396028427238B47810B36C29D71D5DFC3497D5FA6U1r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5E53CD1370EAD12A061A0068BA5D1C9628510F64A2E196A64122054CBBD6C0DD7D5D2661FA02C822D626CBFAC7C405B30306275512D11CE1B7C54FT8r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E53CD1370EAD12A061A0068BA5D1C9628510F64A2E196A64122054CBBD6C0DD7D5D2661FA02C822D626CBFBC7C405B30306275512D11CE1B7C54FT8r7G" TargetMode="External"/><Relationship Id="rId11" Type="http://schemas.openxmlformats.org/officeDocument/2006/relationships/hyperlink" Target="consultantplus://offline/ref=105E53CD1370EAD12A061A0068BA5D1C9628510F64A2E591AC4922054CBBD6C0DD7D5D2661FA02C822D726C9FDC7C405B30306275512D11CE1B7C54FT8r7G" TargetMode="External"/><Relationship Id="rId5" Type="http://schemas.openxmlformats.org/officeDocument/2006/relationships/hyperlink" Target="consultantplus://offline/ref=105E53CD1370EAD12A061A0068BA5D1C9628510F64A5EB93AA4E22054CBBD6C0DD7D5D2661FA02C822D626CBFBC7C405B30306275512D11CE1B7C54FT8r7G" TargetMode="External"/><Relationship Id="rId15" Type="http://schemas.openxmlformats.org/officeDocument/2006/relationships/hyperlink" Target="consultantplus://offline/ref=105E53CD1370EAD12A061A0068BA5D1C9628510F64A5EB93AA4E22054CBBD6C0DD7D5D2661FA02C822D626CBF8C7C405B30306275512D11CE1B7C54FT8r7G" TargetMode="External"/><Relationship Id="rId10" Type="http://schemas.openxmlformats.org/officeDocument/2006/relationships/hyperlink" Target="consultantplus://offline/ref=105E53CD1370EAD12A061A0068BA5D1C9628510F64A2E493A64822054CBBD6C0DD7D5D2661FA02C822D627C8F8C7C405B30306275512D11CE1B7C54FT8r7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05E53CD1370EAD12A061A0068BA5D1C9628510F64A5E596A84022054CBBD6C0DD7D5D2661FA02C822D626CBFBC7C405B30306275512D11CE1B7C54FT8r7G" TargetMode="External"/><Relationship Id="rId9" Type="http://schemas.openxmlformats.org/officeDocument/2006/relationships/hyperlink" Target="consultantplus://offline/ref=105E53CD1370EAD12A06040D7ED6031392230C0562A6E9C7F21C245213EBD0958F3D037F23B911C822C824CBFETCr5G" TargetMode="External"/><Relationship Id="rId14" Type="http://schemas.openxmlformats.org/officeDocument/2006/relationships/hyperlink" Target="consultantplus://offline/ref=105E53CD1370EAD12A061A0068BA5D1C9628510F64A5EB93AA4E22054CBBD6C0DD7D5D2661FA02C822D626CBFAC7C405B30306275512D11CE1B7C54FT8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7160</Characters>
  <Application>Microsoft Office Word</Application>
  <DocSecurity>0</DocSecurity>
  <Lines>59</Lines>
  <Paragraphs>16</Paragraphs>
  <ScaleCrop>false</ScaleCrop>
  <Company>Krokoz™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2019-10-17T06:43:00Z</dcterms:created>
  <dcterms:modified xsi:type="dcterms:W3CDTF">2019-12-17T10:03:00Z</dcterms:modified>
</cp:coreProperties>
</file>